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1D691"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ind w:left="9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34"/>
          <w:kern w:val="0"/>
          <w:sz w:val="31"/>
          <w:szCs w:val="31"/>
          <w:lang w:eastAsia="en-US"/>
        </w:rPr>
        <w:t>附件4</w:t>
      </w:r>
    </w:p>
    <w:p w14:paraId="440561E1">
      <w:pPr>
        <w:widowControl/>
        <w:kinsoku w:val="0"/>
        <w:autoSpaceDE w:val="0"/>
        <w:autoSpaceDN w:val="0"/>
        <w:adjustRightInd w:val="0"/>
        <w:snapToGrid w:val="0"/>
        <w:spacing w:before="149" w:line="219" w:lineRule="auto"/>
        <w:ind w:left="147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2"/>
          <w:szCs w:val="42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10"/>
          <w:kern w:val="0"/>
          <w:sz w:val="42"/>
          <w:szCs w:val="42"/>
          <w:lang w:eastAsia="en-US"/>
        </w:rPr>
        <w:t>“说师资队伍”案例材料基本要求</w:t>
      </w:r>
    </w:p>
    <w:bookmarkEnd w:id="0"/>
    <w:p w14:paraId="2D0C8252">
      <w:pPr>
        <w:widowControl/>
        <w:kinsoku w:val="0"/>
        <w:autoSpaceDE w:val="0"/>
        <w:autoSpaceDN w:val="0"/>
        <w:adjustRightInd w:val="0"/>
        <w:snapToGrid w:val="0"/>
        <w:spacing w:before="171" w:line="222" w:lineRule="auto"/>
        <w:ind w:left="63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1"/>
          <w:szCs w:val="31"/>
          <w:lang w:eastAsia="en-US"/>
        </w:rPr>
        <w:t>一、基本内容</w:t>
      </w:r>
    </w:p>
    <w:p w14:paraId="47BD3117">
      <w:pPr>
        <w:widowControl/>
        <w:kinsoku w:val="0"/>
        <w:autoSpaceDE w:val="0"/>
        <w:autoSpaceDN w:val="0"/>
        <w:adjustRightInd w:val="0"/>
        <w:snapToGrid w:val="0"/>
        <w:spacing w:before="247" w:line="225" w:lineRule="auto"/>
        <w:ind w:left="635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31"/>
          <w:szCs w:val="31"/>
          <w:lang w:eastAsia="en-US"/>
        </w:rPr>
        <w:t>1.</w:t>
      </w: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师资队伍建设依据及其变化</w:t>
      </w:r>
    </w:p>
    <w:p w14:paraId="62898256">
      <w:pPr>
        <w:kinsoku w:val="0"/>
        <w:autoSpaceDE w:val="0"/>
        <w:autoSpaceDN w:val="0"/>
        <w:adjustRightInd w:val="0"/>
        <w:snapToGrid w:val="0"/>
        <w:spacing w:before="309" w:line="364" w:lineRule="auto"/>
        <w:ind w:firstLine="63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包括师资队伍建设在专业群和“双高计划”建设中的地位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与作用，对接国家职业教育改革要求，落实《关于实施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中国特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31"/>
          <w:szCs w:val="31"/>
          <w:lang w:val="en-US" w:eastAsia="en-US" w:bidi="ar-SA"/>
        </w:rPr>
        <w:t>色高水平高职学校和专业建设计划(2025—2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1"/>
          <w:szCs w:val="31"/>
          <w:lang w:val="en-US" w:eastAsia="en-US" w:bidi="ar-SA"/>
        </w:rPr>
        <w:t>029年)的通知》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《关于深化现代职业教育体系建设改革的意见》《深化新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时代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职业教育“双师型”教师队伍建设改革实施方案》等文件精神，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说明师资队伍结构、能力和来源的变化，回应产业升级和技术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变革对教师队伍提出的新要求。</w:t>
      </w:r>
    </w:p>
    <w:p w14:paraId="0FB4B43F">
      <w:pPr>
        <w:widowControl/>
        <w:kinsoku w:val="0"/>
        <w:autoSpaceDE w:val="0"/>
        <w:autoSpaceDN w:val="0"/>
        <w:adjustRightInd w:val="0"/>
        <w:snapToGrid w:val="0"/>
        <w:spacing w:before="15" w:line="225" w:lineRule="auto"/>
        <w:ind w:left="635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  <w:t>2.</w:t>
      </w:r>
      <w:r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  <w:t>师资队伍建设目标及其调整</w:t>
      </w:r>
    </w:p>
    <w:p w14:paraId="610AC298">
      <w:pPr>
        <w:kinsoku w:val="0"/>
        <w:autoSpaceDE w:val="0"/>
        <w:autoSpaceDN w:val="0"/>
        <w:adjustRightInd w:val="0"/>
        <w:snapToGrid w:val="0"/>
        <w:spacing w:before="280" w:line="369" w:lineRule="auto"/>
        <w:ind w:left="5" w:right="105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围绕高素质技术技能人才培养目标，结合专业岗位能力需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求，明确师资队伍在师德师风、教学能力、实践能力、信息素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养、技术服务能力等方面的建设目标，说明“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双师型”教师比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例、专兼结构、梯队建设目标及阶段性调整情况。</w:t>
      </w:r>
    </w:p>
    <w:p w14:paraId="3ACBD5FD">
      <w:pPr>
        <w:widowControl/>
        <w:kinsoku w:val="0"/>
        <w:autoSpaceDE w:val="0"/>
        <w:autoSpaceDN w:val="0"/>
        <w:adjustRightInd w:val="0"/>
        <w:snapToGrid w:val="0"/>
        <w:spacing w:before="4" w:line="225" w:lineRule="auto"/>
        <w:ind w:left="635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31"/>
          <w:szCs w:val="31"/>
          <w:lang w:eastAsia="en-US"/>
        </w:rPr>
        <w:t>3.</w:t>
      </w: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师资队伍建设机制与模式创新</w:t>
      </w:r>
    </w:p>
    <w:p w14:paraId="2881DBF0">
      <w:pPr>
        <w:kinsoku w:val="0"/>
        <w:autoSpaceDE w:val="0"/>
        <w:autoSpaceDN w:val="0"/>
        <w:adjustRightInd w:val="0"/>
        <w:snapToGrid w:val="0"/>
        <w:spacing w:before="271" w:line="368" w:lineRule="auto"/>
        <w:ind w:left="5" w:right="14" w:firstLine="62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包括师德师风建设机制、教师引进与培养机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制、企业人员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聘用机制、教师企业实践制度、校企协同育人机制等；重点阐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明在产教融合背景下，通过产业教授特聘岗、技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val="en-US" w:eastAsia="en-US" w:bidi="ar-SA"/>
        </w:rPr>
        <w:t>能大师工作室、</w:t>
      </w:r>
    </w:p>
    <w:p w14:paraId="05BC6EBC">
      <w:pPr>
        <w:spacing w:line="368" w:lineRule="auto"/>
        <w:sectPr>
          <w:footerReference r:id="rId3" w:type="default"/>
          <w:pgSz w:w="11900" w:h="16840"/>
          <w:pgMar w:top="1431" w:right="1614" w:bottom="1466" w:left="1674" w:header="0" w:footer="1140" w:gutter="0"/>
          <w:cols w:space="720" w:num="1"/>
        </w:sectPr>
      </w:pPr>
    </w:p>
    <w:p w14:paraId="0E8881B1">
      <w:pPr>
        <w:widowControl/>
        <w:kinsoku w:val="0"/>
        <w:autoSpaceDE w:val="0"/>
        <w:autoSpaceDN w:val="0"/>
        <w:adjustRightInd w:val="0"/>
        <w:snapToGrid w:val="0"/>
        <w:spacing w:line="27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382E128">
      <w:pPr>
        <w:widowControl/>
        <w:kinsoku w:val="0"/>
        <w:autoSpaceDE w:val="0"/>
        <w:autoSpaceDN w:val="0"/>
        <w:adjustRightInd w:val="0"/>
        <w:snapToGrid w:val="0"/>
        <w:spacing w:line="27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C512C57">
      <w:pPr>
        <w:widowControl/>
        <w:kinsoku w:val="0"/>
        <w:autoSpaceDE w:val="0"/>
        <w:autoSpaceDN w:val="0"/>
        <w:adjustRightInd w:val="0"/>
        <w:snapToGrid w:val="0"/>
        <w:spacing w:line="27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223BAAE">
      <w:pPr>
        <w:kinsoku w:val="0"/>
        <w:autoSpaceDE w:val="0"/>
        <w:autoSpaceDN w:val="0"/>
        <w:adjustRightInd w:val="0"/>
        <w:snapToGrid w:val="0"/>
        <w:spacing w:before="101" w:line="403" w:lineRule="auto"/>
        <w:ind w:right="7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5"/>
          <w:szCs w:val="25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校企双主体培养等方式，推动教师队伍结构和能力提升的具体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4"/>
          <w:kern w:val="0"/>
          <w:sz w:val="25"/>
          <w:szCs w:val="25"/>
          <w:lang w:val="en-US" w:eastAsia="en-US" w:bidi="ar-SA"/>
        </w:rPr>
        <w:t>做 法</w:t>
      </w:r>
      <w:r>
        <w:rPr>
          <w:rFonts w:ascii="仿宋" w:hAnsi="仿宋" w:eastAsia="仿宋" w:cs="仿宋"/>
          <w:snapToGrid w:val="0"/>
          <w:color w:val="000000"/>
          <w:spacing w:val="-37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4"/>
          <w:kern w:val="0"/>
          <w:sz w:val="25"/>
          <w:szCs w:val="25"/>
          <w:lang w:val="en-US" w:eastAsia="en-US" w:bidi="ar-SA"/>
        </w:rPr>
        <w:t>。</w:t>
      </w:r>
    </w:p>
    <w:p w14:paraId="76666490">
      <w:pPr>
        <w:widowControl/>
        <w:kinsoku w:val="0"/>
        <w:autoSpaceDE w:val="0"/>
        <w:autoSpaceDN w:val="0"/>
        <w:adjustRightInd w:val="0"/>
        <w:snapToGrid w:val="0"/>
        <w:spacing w:before="15" w:line="224" w:lineRule="auto"/>
        <w:ind w:left="61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31"/>
          <w:szCs w:val="31"/>
          <w:lang w:eastAsia="en-US"/>
        </w:rPr>
        <w:t>4.</w:t>
      </w: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教师能力提升路径与实践成效</w:t>
      </w:r>
    </w:p>
    <w:p w14:paraId="731A3301">
      <w:pPr>
        <w:kinsoku w:val="0"/>
        <w:autoSpaceDE w:val="0"/>
        <w:autoSpaceDN w:val="0"/>
        <w:adjustRightInd w:val="0"/>
        <w:snapToGrid w:val="0"/>
        <w:spacing w:before="264" w:line="358" w:lineRule="auto"/>
        <w:ind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包括教师教学能力、工程实践能力、信息化与数字化教学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能力、科研与技术服务能力的提升路径；通过企业实践、项目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驱动、教学改革、技术创新等方式，促进教师专业成长，并说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val="en-US" w:eastAsia="en-US" w:bidi="ar-SA"/>
        </w:rPr>
        <w:t>明相关实践成效。</w:t>
      </w:r>
    </w:p>
    <w:p w14:paraId="7C134089">
      <w:pPr>
        <w:widowControl/>
        <w:kinsoku w:val="0"/>
        <w:autoSpaceDE w:val="0"/>
        <w:autoSpaceDN w:val="0"/>
        <w:adjustRightInd w:val="0"/>
        <w:snapToGrid w:val="0"/>
        <w:spacing w:before="54" w:line="223" w:lineRule="auto"/>
        <w:ind w:left="61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31"/>
          <w:szCs w:val="31"/>
          <w:lang w:eastAsia="en-US"/>
        </w:rPr>
        <w:t>5.</w:t>
      </w:r>
      <w:r>
        <w:rPr>
          <w:rFonts w:ascii="楷体" w:hAnsi="楷体" w:eastAsia="楷体" w:cs="楷体"/>
          <w:snapToGrid w:val="0"/>
          <w:color w:val="000000"/>
          <w:spacing w:val="-2"/>
          <w:kern w:val="0"/>
          <w:sz w:val="31"/>
          <w:szCs w:val="31"/>
          <w:lang w:eastAsia="en-US"/>
        </w:rPr>
        <w:t>教学团队建设与协同发展</w:t>
      </w:r>
    </w:p>
    <w:p w14:paraId="223A2C72">
      <w:pPr>
        <w:kinsoku w:val="0"/>
        <w:autoSpaceDE w:val="0"/>
        <w:autoSpaceDN w:val="0"/>
        <w:adjustRightInd w:val="0"/>
        <w:snapToGrid w:val="0"/>
        <w:spacing w:before="286" w:line="364" w:lineRule="auto"/>
        <w:ind w:right="3"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围绕课程群、专业群或项目任务，组建结构化教师教学创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新团队，推进模块化教学组织和团队协作；说明老中青教师传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帮带机制、校企联合教研、产教融合虚拟教研室建设等情况，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提升团队整体教学与创新能力。</w:t>
      </w:r>
    </w:p>
    <w:p w14:paraId="10B09F11">
      <w:pPr>
        <w:widowControl/>
        <w:kinsoku w:val="0"/>
        <w:autoSpaceDE w:val="0"/>
        <w:autoSpaceDN w:val="0"/>
        <w:adjustRightInd w:val="0"/>
        <w:snapToGrid w:val="0"/>
        <w:spacing w:before="18" w:line="225" w:lineRule="auto"/>
        <w:ind w:left="61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6.师资队伍建设成效与特色</w:t>
      </w:r>
    </w:p>
    <w:p w14:paraId="58AC4004">
      <w:pPr>
        <w:kinsoku w:val="0"/>
        <w:autoSpaceDE w:val="0"/>
        <w:autoSpaceDN w:val="0"/>
        <w:adjustRightInd w:val="0"/>
        <w:snapToGrid w:val="0"/>
        <w:spacing w:before="282" w:line="364" w:lineRule="auto"/>
        <w:ind w:right="1"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从人才培养质量支撑、课程与教材建设、教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学改革成效、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社会服务与行业影响等方面，说明师资队伍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建设的综合成效；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总结在师德引领、产教融合、双师型培养、数字赋能等方面形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成的特色经验与创新做法。</w:t>
      </w:r>
    </w:p>
    <w:p w14:paraId="7A2EBDD7">
      <w:pPr>
        <w:widowControl/>
        <w:kinsoku w:val="0"/>
        <w:autoSpaceDE w:val="0"/>
        <w:autoSpaceDN w:val="0"/>
        <w:adjustRightInd w:val="0"/>
        <w:snapToGrid w:val="0"/>
        <w:spacing w:before="34" w:line="222" w:lineRule="auto"/>
        <w:ind w:left="62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2"/>
          <w:kern w:val="0"/>
          <w:sz w:val="31"/>
          <w:szCs w:val="31"/>
          <w:lang w:eastAsia="en-US"/>
        </w:rPr>
        <w:t>二、提交材料</w:t>
      </w:r>
    </w:p>
    <w:p w14:paraId="4D5B5E22">
      <w:pPr>
        <w:widowControl/>
        <w:kinsoku w:val="0"/>
        <w:autoSpaceDE w:val="0"/>
        <w:autoSpaceDN w:val="0"/>
        <w:adjustRightInd w:val="0"/>
        <w:snapToGrid w:val="0"/>
        <w:spacing w:before="261" w:line="232" w:lineRule="auto"/>
        <w:ind w:left="619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8"/>
          <w:kern w:val="0"/>
          <w:sz w:val="31"/>
          <w:szCs w:val="31"/>
          <w:lang w:eastAsia="en-US"/>
        </w:rPr>
        <w:t>1.汇报</w:t>
      </w:r>
      <w:r>
        <w:rPr>
          <w:rFonts w:ascii="Times New Roman" w:hAnsi="Times New Roman" w:eastAsia="Times New Roman" w:cs="Times New Roman"/>
          <w:snapToGrid w:val="0"/>
          <w:color w:val="000000"/>
          <w:spacing w:val="-8"/>
          <w:kern w:val="0"/>
          <w:sz w:val="31"/>
          <w:szCs w:val="31"/>
          <w:lang w:eastAsia="en-US"/>
        </w:rPr>
        <w:t>PPT</w:t>
      </w:r>
    </w:p>
    <w:p w14:paraId="545689B3">
      <w:pPr>
        <w:widowControl/>
        <w:kinsoku w:val="0"/>
        <w:autoSpaceDE w:val="0"/>
        <w:autoSpaceDN w:val="0"/>
        <w:adjustRightInd w:val="0"/>
        <w:snapToGrid w:val="0"/>
        <w:spacing w:before="214" w:line="223" w:lineRule="auto"/>
        <w:ind w:left="61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3"/>
          <w:kern w:val="0"/>
          <w:sz w:val="31"/>
          <w:szCs w:val="31"/>
          <w:lang w:eastAsia="en-US"/>
        </w:rPr>
        <w:t>2.</w:t>
      </w:r>
      <w:r>
        <w:rPr>
          <w:rFonts w:ascii="楷体" w:hAnsi="楷体" w:eastAsia="楷体" w:cs="楷体"/>
          <w:snapToGrid w:val="0"/>
          <w:color w:val="000000"/>
          <w:spacing w:val="3"/>
          <w:kern w:val="0"/>
          <w:sz w:val="31"/>
          <w:szCs w:val="31"/>
          <w:lang w:eastAsia="en-US"/>
        </w:rPr>
        <w:t>文字方案：3000字左右</w:t>
      </w:r>
    </w:p>
    <w:p w14:paraId="6A235A26">
      <w:pPr>
        <w:spacing w:line="223" w:lineRule="auto"/>
        <w:rPr>
          <w:rFonts w:ascii="楷体" w:hAnsi="楷体" w:eastAsia="楷体" w:cs="楷体"/>
          <w:sz w:val="31"/>
          <w:szCs w:val="31"/>
        </w:rPr>
        <w:sectPr>
          <w:footerReference r:id="rId4" w:type="default"/>
          <w:pgSz w:w="11900" w:h="16840"/>
          <w:pgMar w:top="1431" w:right="1722" w:bottom="1504" w:left="1680" w:header="0" w:footer="1180" w:gutter="0"/>
          <w:cols w:space="720" w:num="1"/>
        </w:sectPr>
      </w:pPr>
    </w:p>
    <w:p w14:paraId="65596C1D">
      <w:pPr>
        <w:widowControl/>
        <w:kinsoku w:val="0"/>
        <w:autoSpaceDE w:val="0"/>
        <w:autoSpaceDN w:val="0"/>
        <w:adjustRightInd w:val="0"/>
        <w:snapToGrid w:val="0"/>
        <w:spacing w:line="27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71CEEDF">
      <w:pPr>
        <w:widowControl/>
        <w:kinsoku w:val="0"/>
        <w:autoSpaceDE w:val="0"/>
        <w:autoSpaceDN w:val="0"/>
        <w:adjustRightInd w:val="0"/>
        <w:snapToGrid w:val="0"/>
        <w:spacing w:line="27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699433E">
      <w:pPr>
        <w:widowControl/>
        <w:kinsoku w:val="0"/>
        <w:autoSpaceDE w:val="0"/>
        <w:autoSpaceDN w:val="0"/>
        <w:adjustRightInd w:val="0"/>
        <w:snapToGrid w:val="0"/>
        <w:spacing w:line="27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333477B">
      <w:pPr>
        <w:kinsoku w:val="0"/>
        <w:autoSpaceDE w:val="0"/>
        <w:autoSpaceDN w:val="0"/>
        <w:adjustRightInd w:val="0"/>
        <w:snapToGrid w:val="0"/>
        <w:spacing w:before="100" w:line="351" w:lineRule="auto"/>
        <w:ind w:left="34" w:right="40" w:firstLine="61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3.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个人简介(200字以内)及小二寸照片；照片支持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>jpg</w:t>
      </w:r>
      <w:r>
        <w:rPr>
          <w:rFonts w:ascii="宋体" w:hAnsi="宋体" w:eastAsia="宋体" w:cs="宋体"/>
          <w:snapToGrid w:val="0"/>
          <w:color w:val="000000"/>
          <w:spacing w:val="-6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1"/>
          <w:szCs w:val="31"/>
          <w:lang w:val="en-US" w:eastAsia="en-US" w:bidi="ar-SA"/>
        </w:rPr>
        <w:t>或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者</w:t>
      </w:r>
      <w:r>
        <w:rPr>
          <w:rFonts w:ascii="仿宋" w:hAnsi="仿宋" w:eastAsia="仿宋" w:cs="仿宋"/>
          <w:snapToGrid w:val="0"/>
          <w:color w:val="000000"/>
          <w:spacing w:val="-6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  <w:t>png</w:t>
      </w:r>
      <w:r>
        <w:rPr>
          <w:rFonts w:ascii="Times New Roman" w:hAnsi="Times New Roman" w:eastAsia="Times New Roman" w:cs="Times New Roman"/>
          <w:snapToGrid w:val="0"/>
          <w:color w:val="000000"/>
          <w:spacing w:val="26"/>
          <w:w w:val="101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格式，最大不超过500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  <w:t>kb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。</w:t>
      </w:r>
    </w:p>
    <w:p w14:paraId="7DA57973">
      <w:pPr>
        <w:widowControl/>
        <w:kinsoku w:val="0"/>
        <w:autoSpaceDE w:val="0"/>
        <w:autoSpaceDN w:val="0"/>
        <w:adjustRightInd w:val="0"/>
        <w:snapToGrid w:val="0"/>
        <w:spacing w:before="3" w:line="219" w:lineRule="auto"/>
        <w:ind w:left="669"/>
        <w:jc w:val="left"/>
        <w:textAlignment w:val="baseline"/>
        <w:outlineLvl w:val="1"/>
        <w:rPr>
          <w:rFonts w:ascii="宋体" w:hAnsi="宋体" w:eastAsia="宋体" w:cs="宋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"/>
          <w:kern w:val="0"/>
          <w:sz w:val="33"/>
          <w:szCs w:val="33"/>
          <w:lang w:eastAsia="en-US"/>
        </w:rPr>
        <w:t>三、选用指标(供参考借鉴)</w:t>
      </w:r>
    </w:p>
    <w:p w14:paraId="193816B8">
      <w:pPr>
        <w:widowControl/>
        <w:kinsoku w:val="0"/>
        <w:autoSpaceDE w:val="0"/>
        <w:autoSpaceDN w:val="0"/>
        <w:adjustRightInd w:val="0"/>
        <w:snapToGrid w:val="0"/>
        <w:spacing w:line="7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"/>
          <w:szCs w:val="21"/>
          <w:lang w:eastAsia="en-US"/>
        </w:rPr>
      </w:pPr>
    </w:p>
    <w:tbl>
      <w:tblPr>
        <w:tblStyle w:val="4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1278"/>
        <w:gridCol w:w="5463"/>
        <w:gridCol w:w="884"/>
      </w:tblGrid>
      <w:tr w14:paraId="3AAE9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04" w:type="dxa"/>
            <w:vAlign w:val="top"/>
          </w:tcPr>
          <w:p w14:paraId="34929403">
            <w:pPr>
              <w:kinsoku w:val="0"/>
              <w:autoSpaceDE w:val="0"/>
              <w:autoSpaceDN w:val="0"/>
              <w:adjustRightInd w:val="0"/>
              <w:snapToGrid w:val="0"/>
              <w:spacing w:before="204" w:line="221" w:lineRule="auto"/>
              <w:ind w:left="15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9"/>
                <w:szCs w:val="29"/>
                <w:lang w:val="en-US" w:eastAsia="en-US" w:bidi="ar-SA"/>
              </w:rPr>
              <w:t>序号</w:t>
            </w:r>
          </w:p>
        </w:tc>
        <w:tc>
          <w:tcPr>
            <w:tcW w:w="1278" w:type="dxa"/>
            <w:vAlign w:val="top"/>
          </w:tcPr>
          <w:p w14:paraId="51A70A68">
            <w:pPr>
              <w:kinsoku w:val="0"/>
              <w:autoSpaceDE w:val="0"/>
              <w:autoSpaceDN w:val="0"/>
              <w:adjustRightInd w:val="0"/>
              <w:snapToGrid w:val="0"/>
              <w:spacing w:before="203" w:line="220" w:lineRule="auto"/>
              <w:ind w:left="5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评审指标</w:t>
            </w:r>
          </w:p>
        </w:tc>
        <w:tc>
          <w:tcPr>
            <w:tcW w:w="5463" w:type="dxa"/>
            <w:vAlign w:val="top"/>
          </w:tcPr>
          <w:p w14:paraId="65A652F0">
            <w:pPr>
              <w:kinsoku w:val="0"/>
              <w:autoSpaceDE w:val="0"/>
              <w:autoSpaceDN w:val="0"/>
              <w:adjustRightInd w:val="0"/>
              <w:snapToGrid w:val="0"/>
              <w:spacing w:before="203" w:line="220" w:lineRule="auto"/>
              <w:ind w:left="215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准</w:t>
            </w:r>
          </w:p>
        </w:tc>
        <w:tc>
          <w:tcPr>
            <w:tcW w:w="884" w:type="dxa"/>
            <w:vAlign w:val="top"/>
          </w:tcPr>
          <w:p w14:paraId="54A61EEB">
            <w:pPr>
              <w:kinsoku w:val="0"/>
              <w:autoSpaceDE w:val="0"/>
              <w:autoSpaceDN w:val="0"/>
              <w:adjustRightInd w:val="0"/>
              <w:snapToGrid w:val="0"/>
              <w:spacing w:before="202" w:line="219" w:lineRule="auto"/>
              <w:ind w:left="15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分值</w:t>
            </w:r>
          </w:p>
        </w:tc>
      </w:tr>
      <w:tr w14:paraId="0DDDA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904" w:type="dxa"/>
            <w:vAlign w:val="top"/>
          </w:tcPr>
          <w:p w14:paraId="235E45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8D04F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57D58DF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01</w:t>
            </w:r>
          </w:p>
        </w:tc>
        <w:tc>
          <w:tcPr>
            <w:tcW w:w="1278" w:type="dxa"/>
            <w:vAlign w:val="top"/>
          </w:tcPr>
          <w:p w14:paraId="76BF18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A611661">
            <w:pPr>
              <w:kinsoku w:val="0"/>
              <w:autoSpaceDE w:val="0"/>
              <w:autoSpaceDN w:val="0"/>
              <w:adjustRightInd w:val="0"/>
              <w:snapToGrid w:val="0"/>
              <w:spacing w:before="94" w:line="220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建设定位</w:t>
            </w:r>
          </w:p>
        </w:tc>
        <w:tc>
          <w:tcPr>
            <w:tcW w:w="5463" w:type="dxa"/>
            <w:vAlign w:val="top"/>
          </w:tcPr>
          <w:p w14:paraId="077B1BBA">
            <w:pPr>
              <w:kinsoku w:val="0"/>
              <w:autoSpaceDE w:val="0"/>
              <w:autoSpaceDN w:val="0"/>
              <w:adjustRightInd w:val="0"/>
              <w:snapToGrid w:val="0"/>
              <w:spacing w:before="42" w:line="243" w:lineRule="auto"/>
              <w:ind w:left="212" w:right="296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师资队伍建设目标清晰，对接国家职业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教育改革和“双高计划”要求，定位准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确，服务专业和产业发展需求明确。</w:t>
            </w:r>
          </w:p>
        </w:tc>
        <w:tc>
          <w:tcPr>
            <w:tcW w:w="884" w:type="dxa"/>
            <w:vAlign w:val="top"/>
          </w:tcPr>
          <w:p w14:paraId="406107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FA387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2614098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2896C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904" w:type="dxa"/>
            <w:vAlign w:val="top"/>
          </w:tcPr>
          <w:p w14:paraId="6FF35F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4D8DAF4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02</w:t>
            </w:r>
          </w:p>
        </w:tc>
        <w:tc>
          <w:tcPr>
            <w:tcW w:w="1278" w:type="dxa"/>
            <w:vAlign w:val="top"/>
          </w:tcPr>
          <w:p w14:paraId="5358CD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65836CA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师德师风</w:t>
            </w:r>
          </w:p>
        </w:tc>
        <w:tc>
          <w:tcPr>
            <w:tcW w:w="5463" w:type="dxa"/>
            <w:vAlign w:val="top"/>
          </w:tcPr>
          <w:p w14:paraId="0F70C10A">
            <w:pPr>
              <w:kinsoku w:val="0"/>
              <w:autoSpaceDE w:val="0"/>
              <w:autoSpaceDN w:val="0"/>
              <w:adjustRightInd w:val="0"/>
              <w:snapToGrid w:val="0"/>
              <w:spacing w:before="43" w:line="243" w:lineRule="auto"/>
              <w:ind w:left="212" w:right="295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坚持立德树人，弘扬教育家精神，师德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>师风建设机制健全，成效显著,教师育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人意识强。</w:t>
            </w:r>
          </w:p>
        </w:tc>
        <w:tc>
          <w:tcPr>
            <w:tcW w:w="884" w:type="dxa"/>
            <w:vAlign w:val="top"/>
          </w:tcPr>
          <w:p w14:paraId="36F256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5B96CDE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17FC1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904" w:type="dxa"/>
            <w:vAlign w:val="top"/>
          </w:tcPr>
          <w:p w14:paraId="3709DF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647A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55F09A7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03</w:t>
            </w:r>
          </w:p>
        </w:tc>
        <w:tc>
          <w:tcPr>
            <w:tcW w:w="1278" w:type="dxa"/>
            <w:vAlign w:val="top"/>
          </w:tcPr>
          <w:p w14:paraId="6D7131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7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BB4F958">
            <w:pPr>
              <w:kinsoku w:val="0"/>
              <w:autoSpaceDE w:val="0"/>
              <w:autoSpaceDN w:val="0"/>
              <w:adjustRightInd w:val="0"/>
              <w:snapToGrid w:val="0"/>
              <w:spacing w:before="94" w:line="220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队伍结构</w:t>
            </w:r>
          </w:p>
        </w:tc>
        <w:tc>
          <w:tcPr>
            <w:tcW w:w="5463" w:type="dxa"/>
            <w:vAlign w:val="top"/>
          </w:tcPr>
          <w:p w14:paraId="7DB86BBC">
            <w:pPr>
              <w:kinsoku w:val="0"/>
              <w:autoSpaceDE w:val="0"/>
              <w:autoSpaceDN w:val="0"/>
              <w:adjustRightInd w:val="0"/>
              <w:snapToGrid w:val="0"/>
              <w:spacing w:before="53" w:line="241" w:lineRule="auto"/>
              <w:ind w:left="212" w:right="294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师资数量充足，职称、年龄、能力、专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兼结构合理，“双师型”教师比例达标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并持续提升。</w:t>
            </w:r>
          </w:p>
        </w:tc>
        <w:tc>
          <w:tcPr>
            <w:tcW w:w="884" w:type="dxa"/>
            <w:vAlign w:val="top"/>
          </w:tcPr>
          <w:p w14:paraId="1956C9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5DEEF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341A5B4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15</w:t>
            </w:r>
          </w:p>
        </w:tc>
      </w:tr>
      <w:tr w14:paraId="23E52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904" w:type="dxa"/>
            <w:vAlign w:val="top"/>
          </w:tcPr>
          <w:p w14:paraId="67E658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F97C4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E515135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04</w:t>
            </w:r>
          </w:p>
        </w:tc>
        <w:tc>
          <w:tcPr>
            <w:tcW w:w="1278" w:type="dxa"/>
            <w:vAlign w:val="top"/>
          </w:tcPr>
          <w:p w14:paraId="6B7994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7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DB77233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能力提升</w:t>
            </w:r>
          </w:p>
        </w:tc>
        <w:tc>
          <w:tcPr>
            <w:tcW w:w="5463" w:type="dxa"/>
            <w:vAlign w:val="top"/>
          </w:tcPr>
          <w:p w14:paraId="7719A53A">
            <w:pPr>
              <w:kinsoku w:val="0"/>
              <w:autoSpaceDE w:val="0"/>
              <w:autoSpaceDN w:val="0"/>
              <w:adjustRightInd w:val="0"/>
              <w:snapToGrid w:val="0"/>
              <w:spacing w:before="58" w:line="240" w:lineRule="auto"/>
              <w:ind w:left="212" w:right="14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教师教学能力、实践能力、信息素养和 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技术服务能力提升路径清晰，措施得当，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成效明显。</w:t>
            </w:r>
          </w:p>
        </w:tc>
        <w:tc>
          <w:tcPr>
            <w:tcW w:w="884" w:type="dxa"/>
            <w:vAlign w:val="top"/>
          </w:tcPr>
          <w:p w14:paraId="712DC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57BEB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2958540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20</w:t>
            </w:r>
          </w:p>
        </w:tc>
      </w:tr>
      <w:tr w14:paraId="1DF16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904" w:type="dxa"/>
            <w:vAlign w:val="top"/>
          </w:tcPr>
          <w:p w14:paraId="2B41FA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DE7D9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3681D12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05</w:t>
            </w:r>
          </w:p>
        </w:tc>
        <w:tc>
          <w:tcPr>
            <w:tcW w:w="1278" w:type="dxa"/>
            <w:vAlign w:val="top"/>
          </w:tcPr>
          <w:p w14:paraId="5D5AAA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7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2D957F2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产教融合</w:t>
            </w:r>
          </w:p>
        </w:tc>
        <w:tc>
          <w:tcPr>
            <w:tcW w:w="5463" w:type="dxa"/>
            <w:vAlign w:val="top"/>
          </w:tcPr>
          <w:p w14:paraId="78259085">
            <w:pPr>
              <w:kinsoku w:val="0"/>
              <w:autoSpaceDE w:val="0"/>
              <w:autoSpaceDN w:val="0"/>
              <w:adjustRightInd w:val="0"/>
              <w:snapToGrid w:val="0"/>
              <w:spacing w:before="68" w:line="240" w:lineRule="auto"/>
              <w:ind w:left="212" w:right="274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校企协同育人机制健全，企业专家深度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5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参与教学，产业教授、技能大师等作用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 xml:space="preserve"> 发挥充分。</w:t>
            </w:r>
          </w:p>
        </w:tc>
        <w:tc>
          <w:tcPr>
            <w:tcW w:w="884" w:type="dxa"/>
            <w:vAlign w:val="top"/>
          </w:tcPr>
          <w:p w14:paraId="56A08B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A8C0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766C970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15</w:t>
            </w:r>
          </w:p>
        </w:tc>
      </w:tr>
      <w:tr w14:paraId="42EBC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04" w:type="dxa"/>
            <w:vAlign w:val="top"/>
          </w:tcPr>
          <w:p w14:paraId="0B0416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FBB17BB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06</w:t>
            </w:r>
          </w:p>
        </w:tc>
        <w:tc>
          <w:tcPr>
            <w:tcW w:w="1278" w:type="dxa"/>
            <w:vAlign w:val="top"/>
          </w:tcPr>
          <w:p w14:paraId="0C082F68">
            <w:pPr>
              <w:kinsoku w:val="0"/>
              <w:autoSpaceDE w:val="0"/>
              <w:autoSpaceDN w:val="0"/>
              <w:adjustRightInd w:val="0"/>
              <w:snapToGrid w:val="0"/>
              <w:spacing w:before="269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教学团队</w:t>
            </w:r>
          </w:p>
        </w:tc>
        <w:tc>
          <w:tcPr>
            <w:tcW w:w="5463" w:type="dxa"/>
            <w:vAlign w:val="top"/>
          </w:tcPr>
          <w:p w14:paraId="38FC2ACD">
            <w:pPr>
              <w:kinsoku w:val="0"/>
              <w:autoSpaceDE w:val="0"/>
              <w:autoSpaceDN w:val="0"/>
              <w:adjustRightInd w:val="0"/>
              <w:snapToGrid w:val="0"/>
              <w:spacing w:before="66" w:line="230" w:lineRule="auto"/>
              <w:ind w:left="212" w:right="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教学团队结构化程度高，协同机制完善，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教研活动组织有力，教学创新能力突出。</w:t>
            </w:r>
          </w:p>
        </w:tc>
        <w:tc>
          <w:tcPr>
            <w:tcW w:w="884" w:type="dxa"/>
            <w:vAlign w:val="top"/>
          </w:tcPr>
          <w:p w14:paraId="089D0A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1F1D984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11E84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904" w:type="dxa"/>
            <w:vAlign w:val="top"/>
          </w:tcPr>
          <w:p w14:paraId="362E96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BD1C0BE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07</w:t>
            </w:r>
          </w:p>
        </w:tc>
        <w:tc>
          <w:tcPr>
            <w:tcW w:w="1278" w:type="dxa"/>
            <w:vAlign w:val="top"/>
          </w:tcPr>
          <w:p w14:paraId="61ADC34E">
            <w:pPr>
              <w:kinsoku w:val="0"/>
              <w:autoSpaceDE w:val="0"/>
              <w:autoSpaceDN w:val="0"/>
              <w:adjustRightInd w:val="0"/>
              <w:snapToGrid w:val="0"/>
              <w:spacing w:before="260" w:line="220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建设成效</w:t>
            </w:r>
          </w:p>
        </w:tc>
        <w:tc>
          <w:tcPr>
            <w:tcW w:w="5463" w:type="dxa"/>
            <w:vAlign w:val="top"/>
          </w:tcPr>
          <w:p w14:paraId="03BD365A">
            <w:pPr>
              <w:kinsoku w:val="0"/>
              <w:autoSpaceDE w:val="0"/>
              <w:autoSpaceDN w:val="0"/>
              <w:adjustRightInd w:val="0"/>
              <w:snapToGrid w:val="0"/>
              <w:spacing w:before="68" w:line="226" w:lineRule="auto"/>
              <w:ind w:left="221" w:right="155" w:hanging="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师资队伍对人才培养、课程改革、教学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质量提升支撑作用显著,具有示范效应。</w:t>
            </w:r>
          </w:p>
        </w:tc>
        <w:tc>
          <w:tcPr>
            <w:tcW w:w="884" w:type="dxa"/>
            <w:vAlign w:val="top"/>
          </w:tcPr>
          <w:p w14:paraId="620B28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A12B5FD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5351A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904" w:type="dxa"/>
            <w:vAlign w:val="top"/>
          </w:tcPr>
          <w:p w14:paraId="1C6FE4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6915E4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08</w:t>
            </w:r>
          </w:p>
        </w:tc>
        <w:tc>
          <w:tcPr>
            <w:tcW w:w="1278" w:type="dxa"/>
            <w:vAlign w:val="top"/>
          </w:tcPr>
          <w:p w14:paraId="46BC4567">
            <w:pPr>
              <w:kinsoku w:val="0"/>
              <w:autoSpaceDE w:val="0"/>
              <w:autoSpaceDN w:val="0"/>
              <w:adjustRightInd w:val="0"/>
              <w:snapToGrid w:val="0"/>
              <w:spacing w:before="281" w:line="219" w:lineRule="auto"/>
              <w:ind w:left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>特色创新</w:t>
            </w:r>
          </w:p>
        </w:tc>
        <w:tc>
          <w:tcPr>
            <w:tcW w:w="5463" w:type="dxa"/>
            <w:vAlign w:val="top"/>
          </w:tcPr>
          <w:p w14:paraId="1C3806B2">
            <w:pPr>
              <w:kinsoku w:val="0"/>
              <w:autoSpaceDE w:val="0"/>
              <w:autoSpaceDN w:val="0"/>
              <w:adjustRightInd w:val="0"/>
              <w:snapToGrid w:val="0"/>
              <w:spacing w:before="80" w:line="232" w:lineRule="auto"/>
              <w:ind w:left="212" w:right="2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师资队伍建设理念先进、模式创新，具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有较强的推广价值和借鉴意义。</w:t>
            </w:r>
          </w:p>
        </w:tc>
        <w:tc>
          <w:tcPr>
            <w:tcW w:w="884" w:type="dxa"/>
            <w:vAlign w:val="top"/>
          </w:tcPr>
          <w:p w14:paraId="5595A7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42BDA06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28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9"/>
                <w:szCs w:val="29"/>
                <w:lang w:val="en-US" w:eastAsia="en-US" w:bidi="ar-SA"/>
              </w:rPr>
              <w:t>10</w:t>
            </w:r>
          </w:p>
        </w:tc>
      </w:tr>
      <w:tr w14:paraId="6E7C4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645" w:type="dxa"/>
            <w:gridSpan w:val="3"/>
            <w:vAlign w:val="top"/>
          </w:tcPr>
          <w:p w14:paraId="3379F5A9">
            <w:pPr>
              <w:kinsoku w:val="0"/>
              <w:autoSpaceDE w:val="0"/>
              <w:autoSpaceDN w:val="0"/>
              <w:adjustRightInd w:val="0"/>
              <w:snapToGrid w:val="0"/>
              <w:spacing w:before="243" w:line="217" w:lineRule="auto"/>
              <w:ind w:left="35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9"/>
                <w:szCs w:val="29"/>
                <w:lang w:val="en-US" w:eastAsia="en-US" w:bidi="ar-SA"/>
              </w:rPr>
              <w:t>合计</w:t>
            </w:r>
          </w:p>
        </w:tc>
        <w:tc>
          <w:tcPr>
            <w:tcW w:w="884" w:type="dxa"/>
            <w:vAlign w:val="top"/>
          </w:tcPr>
          <w:p w14:paraId="3C1279AC">
            <w:pPr>
              <w:kinsoku w:val="0"/>
              <w:autoSpaceDE w:val="0"/>
              <w:autoSpaceDN w:val="0"/>
              <w:adjustRightInd w:val="0"/>
              <w:snapToGrid w:val="0"/>
              <w:spacing w:before="301" w:line="180" w:lineRule="auto"/>
              <w:ind w:left="2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9"/>
                <w:szCs w:val="29"/>
                <w:lang w:val="en-US" w:eastAsia="en-US" w:bidi="ar-SA"/>
              </w:rPr>
              <w:t>100</w:t>
            </w:r>
          </w:p>
        </w:tc>
      </w:tr>
    </w:tbl>
    <w:p w14:paraId="7B066C43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25497">
    <w:pPr>
      <w:kinsoku w:val="0"/>
      <w:autoSpaceDE w:val="0"/>
      <w:autoSpaceDN w:val="0"/>
      <w:adjustRightInd w:val="0"/>
      <w:snapToGrid w:val="0"/>
      <w:spacing w:line="233" w:lineRule="auto"/>
      <w:ind w:left="3875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5"/>
        <w:szCs w:val="25"/>
        <w:lang w:val="en-US" w:eastAsia="en-US" w:bidi="ar-SA"/>
      </w:rPr>
    </w:pPr>
    <w:r>
      <w:rPr>
        <w:rFonts w:ascii="仿宋" w:hAnsi="仿宋" w:eastAsia="仿宋" w:cs="仿宋"/>
        <w:snapToGrid w:val="0"/>
        <w:color w:val="000000"/>
        <w:spacing w:val="-2"/>
        <w:kern w:val="0"/>
        <w:sz w:val="25"/>
        <w:szCs w:val="25"/>
        <w:lang w:val="en-US" w:eastAsia="en-US" w:bidi="ar-SA"/>
      </w:rPr>
      <w:t>—15—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4DD5F">
    <w:pPr>
      <w:widowControl/>
      <w:kinsoku w:val="0"/>
      <w:autoSpaceDE w:val="0"/>
      <w:autoSpaceDN w:val="0"/>
      <w:adjustRightInd w:val="0"/>
      <w:snapToGrid w:val="0"/>
      <w:spacing w:line="232" w:lineRule="auto"/>
      <w:ind w:left="3879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5"/>
        <w:szCs w:val="25"/>
        <w:lang w:eastAsia="en-US"/>
      </w:rPr>
    </w:pPr>
    <w:r>
      <w:rPr>
        <w:rFonts w:ascii="宋体" w:hAnsi="宋体" w:eastAsia="宋体" w:cs="宋体"/>
        <w:snapToGrid w:val="0"/>
        <w:color w:val="000000"/>
        <w:spacing w:val="-2"/>
        <w:kern w:val="0"/>
        <w:sz w:val="25"/>
        <w:szCs w:val="25"/>
        <w:lang w:eastAsia="en-US"/>
      </w:rPr>
      <w:t>—16—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AF897">
    <w:pPr>
      <w:widowControl/>
      <w:kinsoku w:val="0"/>
      <w:autoSpaceDE w:val="0"/>
      <w:autoSpaceDN w:val="0"/>
      <w:adjustRightInd w:val="0"/>
      <w:snapToGrid w:val="0"/>
      <w:spacing w:line="232" w:lineRule="auto"/>
      <w:ind w:left="3874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5"/>
        <w:szCs w:val="25"/>
        <w:lang w:eastAsia="en-US"/>
      </w:rPr>
    </w:pPr>
    <w:r>
      <w:rPr>
        <w:rFonts w:ascii="宋体" w:hAnsi="宋体" w:eastAsia="宋体" w:cs="宋体"/>
        <w:snapToGrid w:val="0"/>
        <w:color w:val="000000"/>
        <w:spacing w:val="-2"/>
        <w:kern w:val="0"/>
        <w:sz w:val="25"/>
        <w:szCs w:val="25"/>
        <w:lang w:eastAsia="en-US"/>
      </w:rPr>
      <w:t>—17—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B8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2026-04-23T02:16:45Z</dcterms:created>
  <dc:creator>admin</dc:creator>
  <cp:lastModifiedBy>彭彭</cp:lastModifiedBy>
  <dcterms:modified xsi:type="dcterms:W3CDTF">2026-04-23T02:17:14Z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B4F0534910BD4BAE9B36ED8C31A1F841_12</vt:lpwstr>
  </property>
</Properties>
</file>